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8A" w:rsidRPr="000B25EE" w:rsidRDefault="0026528A" w:rsidP="0026528A">
      <w:pPr>
        <w:jc w:val="right"/>
        <w:rPr>
          <w:rFonts w:ascii="Times New Roman" w:hAnsi="Times New Roman"/>
          <w:sz w:val="24"/>
          <w:szCs w:val="20"/>
        </w:rPr>
      </w:pPr>
      <w:bookmarkStart w:id="0" w:name="_GoBack"/>
      <w:bookmarkEnd w:id="0"/>
      <w:r w:rsidRPr="000B25EE">
        <w:rPr>
          <w:rFonts w:ascii="Times New Roman" w:hAnsi="Times New Roman"/>
          <w:sz w:val="24"/>
          <w:szCs w:val="20"/>
        </w:rPr>
        <w:t>Таблица 12</w:t>
      </w:r>
    </w:p>
    <w:p w:rsid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 xml:space="preserve">Паспорт </w:t>
      </w:r>
    </w:p>
    <w:p w:rsidR="004373E6" w:rsidRPr="005774F0" w:rsidRDefault="004373E6" w:rsidP="004373E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</w:rPr>
      </w:pPr>
      <w:r w:rsidRPr="005774F0">
        <w:rPr>
          <w:rFonts w:ascii="Times New Roman" w:hAnsi="Times New Roman" w:cs="Times New Roman"/>
          <w:b/>
          <w:sz w:val="28"/>
        </w:rPr>
        <w:t>инвестиционного проекта</w:t>
      </w:r>
    </w:p>
    <w:p w:rsidR="004373E6" w:rsidRPr="000B25EE" w:rsidRDefault="004373E6" w:rsidP="004373E6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474"/>
        <w:gridCol w:w="1495"/>
      </w:tblGrid>
      <w:tr w:rsidR="004373E6" w:rsidRPr="000B25EE" w:rsidTr="005774F0">
        <w:trPr>
          <w:trHeight w:val="582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№</w:t>
            </w:r>
            <w:r w:rsidRPr="000B25EE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Данные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Комментарии</w:t>
            </w:r>
          </w:p>
        </w:tc>
      </w:tr>
      <w:tr w:rsidR="004373E6" w:rsidRPr="000B25EE" w:rsidTr="005774F0">
        <w:trPr>
          <w:trHeight w:val="346"/>
          <w:tblHeader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0B25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0B25E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0B25EE">
              <w:rPr>
                <w:rFonts w:ascii="Times New Roman" w:hAnsi="Times New Roman" w:cs="Times New Roman"/>
              </w:rPr>
              <w:t>3</w:t>
            </w: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Название инвестиционного проекта</w:t>
            </w:r>
            <w:r w:rsidR="00792FBF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92FBF" w:rsidRPr="000B25EE" w:rsidRDefault="00792FBF" w:rsidP="00DB29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«Создание судостроительного комплекса «Звезда»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792FB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Краткое описание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Проект предусматривает строительство верфи крупнотоннажного судостроения «Судостроительный комплекс «Звезда» и освоение ее производственных мощностей.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Реализация Проекта разделена на 2 фазы: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Инвестиционная фаза - строительство верфи и подготовка ее к операционной деятельности;</w:t>
            </w:r>
          </w:p>
          <w:p w:rsidR="00DB2923" w:rsidRPr="000B25EE" w:rsidRDefault="00DB2923" w:rsidP="00DB2923">
            <w:pPr>
              <w:pStyle w:val="a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Эксплуатационная фаза - запуск производственных мощностей и выпуск продукции.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Строительство верфи предполагает возведение всех производственных объектов и объектов инфраструктуры, а также приобретение производственных технологий, необходимых для оптимального функционирования созданного предприятия.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 типу Проект представляет собой создание производства с нуля с реконструкцией некоторых мощностей, присутствующих на территории строительства верфи.</w:t>
            </w:r>
          </w:p>
          <w:p w:rsidR="00DB2923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Инвестиционная фаза будет реализована в 3 очереди строительства, каждая из которых подразумевает постепенное расширение продуктового ряда производимой продукции. Окончание инвестиционной фазы запланировано в 2024 г. </w:t>
            </w:r>
          </w:p>
          <w:p w:rsidR="00792FBF" w:rsidRPr="000B25EE" w:rsidRDefault="00DB2923" w:rsidP="00DB2923">
            <w:pPr>
              <w:pStyle w:val="a5"/>
              <w:tabs>
                <w:tab w:val="left" w:pos="835"/>
              </w:tabs>
              <w:spacing w:before="0"/>
              <w:ind w:firstLine="268"/>
              <w:rPr>
                <w:sz w:val="20"/>
                <w:szCs w:val="20"/>
                <w:lang w:val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Поэтапный ввод в эксплуатацию всего комплекса производств судостроительного комплекса будет завершен в конце 2024 года. При этом ввод в эксплуатацию основных производственных мощностей первой очереди строительства запланирован на 2016 год.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Участники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ОАО «НК «Роснефть» и «Газпромбанк» (АО) в лице совместного предприятия ЗАО «Современные Технологии Судостроения» являются инициаторами Проекта, а вместе с ОАО «Роснефтегаз» - инвесторами Проекта.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«ДЦСС» (Дальневосточный центр судостроения и судоремонта) – оператор проекта, включает в себя судостроительные и судоремонтные заводы в Дальневосточном федеральном округе, в том числе на Камчатке, в Хабаровском и Приморском краях.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ОАО «ДВЗ «Звезда» (Дальневосточный завод «Звезда») – заказчик-застройщик, является ведущим предприятием по ремонту подводных лодок Тихоокеанского флота и единственное на Дальнем Востоке, специализирующееся на ремонте, переоборудовании и модернизации кораблей атомных подводных ракетоносцев.</w:t>
            </w:r>
          </w:p>
          <w:p w:rsidR="00DB2923" w:rsidRPr="000B25EE" w:rsidRDefault="00CB0DD5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 xml:space="preserve">ОАО «ЦТСС» </w:t>
            </w:r>
            <w:r w:rsidR="00DB2923"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(Центр технологии судостроения и судоремонта) – генеральный проектировщик, многопрофильный научно-производственный комплекс, ведущий технологический центр судостроения России, одна из крупнейших научных организаций Санкт-Петербурга. 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ФГУП «Крыловский государственный научный центр» – технический консультант, - один из крупнейших мировых исследовательских центров в области кораблестроения и проектирования.</w:t>
            </w:r>
          </w:p>
          <w:p w:rsidR="00DB2923" w:rsidRPr="000B25EE" w:rsidRDefault="00DB2923" w:rsidP="00DB2923">
            <w:pPr>
              <w:pStyle w:val="a5"/>
              <w:spacing w:before="0"/>
              <w:ind w:firstLine="268"/>
              <w:rPr>
                <w:sz w:val="20"/>
                <w:szCs w:val="20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IMG (Ingenieurtechnik und Maschinenbau GmbH) – технический консультант, одно из ведущих немецких предприятий, специализирующееся на проектировании и выпуске производственных систем для судостроительной промышленности.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599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5774F0" w:rsidP="00DB2923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Ц</w:t>
            </w:r>
            <w:r w:rsidR="004373E6" w:rsidRPr="000B25EE">
              <w:rPr>
                <w:rFonts w:ascii="Times New Roman" w:hAnsi="Times New Roman"/>
                <w:b/>
                <w:sz w:val="20"/>
                <w:szCs w:val="20"/>
              </w:rPr>
              <w:t>ели инвестиционного проекта</w:t>
            </w:r>
            <w:r w:rsidR="00DB2923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национальной безопасности и государственных интересов  в области реализации Морской Доктрины Российской Федерации;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полноценного участия российской промышленности в реализации проектов на континентальном шельфе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повышение конкурентоспособности и бюджетной эффективности судостроительной отрасли РФ;</w:t>
            </w:r>
          </w:p>
          <w:p w:rsidR="00DB2923" w:rsidRPr="000B25EE" w:rsidRDefault="00DB2923" w:rsidP="00DB2923">
            <w:pPr>
              <w:pStyle w:val="a"/>
              <w:rPr>
                <w:sz w:val="20"/>
                <w:szCs w:val="20"/>
              </w:rPr>
            </w:pPr>
            <w:r w:rsidRPr="000B25EE">
              <w:rPr>
                <w:sz w:val="20"/>
                <w:szCs w:val="20"/>
                <w:shd w:val="clear" w:color="auto" w:fill="auto"/>
                <w:lang w:val="ru-RU" w:eastAsia="ru-RU"/>
              </w:rPr>
              <w:t>обеспечение экономических интересов Российской Федерации посредством создания современного флота.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44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Вклад инвестиционного проекта в достижение целей отраслевой стратегии, стратегии развития региона и целевых показателей государственных программ Российской Федерации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pacing w:val="-4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Концепция проекта «Судостроительный комплекс «Звезда» сформирована в соответствии с ключевыми ориентирами </w:t>
            </w:r>
            <w:r w:rsidRPr="000B25EE">
              <w:rPr>
                <w:rFonts w:ascii="Times New Roman" w:hAnsi="Times New Roman"/>
                <w:b/>
                <w:i/>
                <w:spacing w:val="-4"/>
                <w:sz w:val="20"/>
                <w:szCs w:val="28"/>
              </w:rPr>
              <w:t xml:space="preserve">Стратегии развития судостроительной промышленности до 2020 года, </w:t>
            </w:r>
            <w:r w:rsidRPr="000B25EE">
              <w:rPr>
                <w:rFonts w:ascii="Times New Roman" w:hAnsi="Times New Roman"/>
                <w:spacing w:val="-4"/>
                <w:sz w:val="20"/>
                <w:szCs w:val="28"/>
              </w:rPr>
              <w:t xml:space="preserve">такими как: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топливно-энергетическая безопасность (поставка уникальных плавсооружений и необходимого технического флота для разведки и добычи углеводородного сырья на Арктическом и Дальневосточном шельфе России);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транспортная безопасность (обеспечение морского и речного флотов необходимым тоннажем для грузовых и пассажирских перевозок силами национальных перевозчиков);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продовольственная безопасность (обеспечение необходимым тоннажем рыболовного флота);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 мобилизационной готовности и устойчивого функционирования экономики в чрезвычайных ситуациях;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ликвидация критического научно-технического отставания от промышленно развитых стран мира;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формирование в судостроительной промышленности рыночно-ориентированных бизнес-структур нового поколения, обладающих потенциалом саморазвития.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Строительство новых судостроительных комплексов также предусматривается Стратегией развития судостроительной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промышленности на период до 2020 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. Основными целями второго и третьего  этапов данной стратегии являются: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начало освоения производства крупнотоннажных судов различного назначения;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расширение  создания судов и морской техники для государственных нужд, включая создание новых технических средств и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передовых технологий для изучения и освоения минеральных ресурсов российского шельфа и Мирового океана.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tabs>
                <w:tab w:val="left" w:pos="0"/>
                <w:tab w:val="left" w:pos="426"/>
              </w:tabs>
              <w:spacing w:after="0"/>
              <w:ind w:left="425" w:hanging="425"/>
              <w:jc w:val="both"/>
              <w:rPr>
                <w:rFonts w:ascii="Times New Roman" w:hAnsi="Times New Roman"/>
                <w:sz w:val="20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Мероприятие «Развитие производственных мощностей по судостроению на Дальнем Востоке»  входит 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 xml:space="preserve">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Перечень основных мероприятий государственной программы Российской Федерации «Развитие судостроения на 2013 - 2030 годы», подпрограмма  «Развитие производственных мощностей гражданского судостроения и материально-технической базы отрасли».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Создание  судостроительного комплекса на ДВ РФ тесно связано с наиболее приоритетными направлениями развития  российского судостроения согласно  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а именно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обеспечением эффективной эксплуатации Северного морского пути, превращением Северного морского пути в национальную транзитную магистраль. Решение такой комплексной задачи требует, в первую очередь, строительства ледокольного флота и транспортных судов ледового плавания, а также новых технических решений, позволяющих рентабельно перевозить транзитные грузы;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эффективным и экологически безопасным освоением морских месторождений углеводородов на континентальном шельфе в Арктической зоне Российской Федерации. Основной технической проблемой, которая должна быть решена в ближайшие десятилетия, являются производство и доставка конечного продукта переработки углеводородного сырья по конкурентным ценам. К этой общегосударственной задаче примыкает задача добычи морских биологических ресурсов, что напрямую связано с обеспечением продовольственной безопасности Российской Федерации.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Цели Проекта соответствуют главной цели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Государственной программы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 повышению конкурентоспособности судостроительной отрасли Российской Федерации в мире и обеспечению частичного удовлетворения потребностей государства и отечественного бизнеса в современной продукции судостроения.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В вышеуказанной программе государство  ставит задачу обеспечения эффективности работы судостроительной отрасли и увеличения инвестиционной привлекательности отечественного судостроения, включая достижение уровня передовых стран по качеству судостроительной продукции, чему в немалой степени будет способствовать развитие новых судостроительных мощностей на Дальнем Востоке РФ.</w:t>
            </w:r>
          </w:p>
          <w:p w:rsidR="00FD16CC" w:rsidRPr="000B25EE" w:rsidRDefault="00FD16CC" w:rsidP="00FD16CC">
            <w:pPr>
              <w:tabs>
                <w:tab w:val="left" w:pos="0"/>
                <w:tab w:val="left" w:pos="426"/>
              </w:tabs>
              <w:spacing w:after="0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Стратегия реализации Проекта «Создание судостроительного комплекса «Звезда» коррелирует со следующими приоритетными направлениями государственной политики в области развития судостроительной промышленности: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создание конкурентоспособной специализированной морской техники, в том числе судов и плавательных средств для освоения континентального шельфа и Северного морского пути, высокотехнологичных среднетоннажных транспортных судов и судов обеспечения, высокотехнологичных рыбопромысловых судов, морских и речных научно-исследовательских и научно-экспедиционных судов;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дальнейшее развитие и оптимизация проведенных институциональных преобразований в отрасли, переход к формированию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кластерной системы развития и построения отрасли, развитию интегрированных структур по выпуску судового оборудования, развитие лизинга морской рыбопромысловой и речной техники.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Реализация проекта СК «Звезда» будет способствовать достижению Целевых  индикаторов  и показателей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ГП  Российской Федерации «Развитие судостроения на 2013 - 2030 годы»</w:t>
            </w:r>
            <w:r w:rsidRPr="000B25EE">
              <w:rPr>
                <w:rFonts w:ascii="Times New Roman" w:hAnsi="Times New Roman"/>
                <w:i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а именно: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объема выпуска гражданской продукции российского судостроения;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росту производительности труда в гражданской сфере судостроительной промышленности;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увеличению доли отечественного гражданского судостроения на мировом рынке;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увеличению доли обновленных и новых основных производственных фондов судостроительных организаций отрасли (верфей).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Строящийся «Судостроительный комплекс «Звезда» полностью соответствует ожидаемым результатам действия  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ГП  Российской Федерации «Развитие судостроения на 2013 - 2030 годы»,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касающимся: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создания производственных мощностей, обеспечивающих строительство, ремонт и модернизацию современных крупнотоннажных судов и морской техники; 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создания необходимого задела для увеличения в структуре судостроения доли высокотехнологичной продукции.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В число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принципов национальной морской политики РФ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входят: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концентрация усилий по строительству и развитию инфраструктуры российского флота на территориях субъектов Российской Федерации, традиционно связанных с мореплаванием, унификация этой инфраструктуры для военных и хозяйственных нужд;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6"/>
              </w:numPr>
              <w:spacing w:after="0"/>
              <w:ind w:left="714" w:hanging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поддержание российского флота в готовности к решению стоящих перед ним задач, а также мобилизационной готовности торгового, рыбопромыслового, научно-исследовательского и других специализированных флотов.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Морская доктрина РФ  на период до 2020 года</w:t>
            </w:r>
            <w:r w:rsidRPr="000B25EE">
              <w:rPr>
                <w:rFonts w:ascii="Times New Roman" w:hAnsi="Times New Roman"/>
                <w:b/>
                <w:bCs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bCs/>
                <w:sz w:val="20"/>
                <w:szCs w:val="28"/>
              </w:rPr>
              <w:t xml:space="preserve">относит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задачи  строительства флота и  создание условий, стимулирующих строительство флота на отечественных предприятиях к числу приоритетных задач государства. 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Одним из ключевых направлений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Морской Доктрины РФ на период до 2020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года является разработка известных месторождений и интенсивная разведка нефти и природного газа на континентальном шельфе Российской Федерации, что невозможно осуществить без строительства современной морской техники на территории Российской Федерации.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eastAsiaTheme="minorHAnsi" w:hAnsi="Times New Roman"/>
                <w:sz w:val="20"/>
                <w:szCs w:val="28"/>
                <w:lang w:eastAsia="en-US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Увеличение объемов строительства новых судов при запуске в работу нового судостроительного комплекса «Звезда»  приведет к эффектам, описанным в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ФЗ «О внесении изменений в отдельные законодательные акты Российской Федерации в связи с реализацией мер по поддержке российского судостроения и судоходства»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- к увеличению налоговых поступлений в бюджетную систему России от таких отраслей экономики как судостроение, металлургия, машиностроение, химическая промышленность, перевозка грузов, содержание речной инфраструктуры.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В социально-экономической сфере эксплуатация нового судостроительного комплекса будет способствовать сохранению и расширению числа рабочих мест, повышению спроса на квалифицированные научно-технические кадры, улучшение их возрастной структуры, а так же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повышению производительности труда и уровня его оплаты.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Проект Судостроительного комплекса «Звезда» является ключевым  этапом развития судостроения на Дальнем Востоке. В целях развития судостроения и повышения эффективности освоения континентального шельфа Российской Федерации в районах Дальнего Востока и Арктики  21 июля 2014г подписан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Указ Президента РФ «О Развития судостроения на Дальнем Востоке»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,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12 сентября 2014 года подписано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Распоряжение Правительства №1804-Р «О развитии судостроения на Дальнем Востоке».</w:t>
            </w:r>
          </w:p>
          <w:p w:rsidR="00FD16CC" w:rsidRPr="000B25EE" w:rsidRDefault="00FD16CC" w:rsidP="00FD16CC">
            <w:pPr>
              <w:pStyle w:val="a1"/>
              <w:numPr>
                <w:ilvl w:val="0"/>
                <w:numId w:val="5"/>
              </w:numPr>
              <w:spacing w:after="0"/>
              <w:ind w:left="425" w:hanging="425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>Стратегия социально-экономического развития Дальнего Востока и Байкальского региона на период до 2025 года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 в качестве одного из ведущих направлений развития ДФО, планируемых к реализации в 2010-2020 годах и на период до 2025 года,   выделяет  развитие производственного комплекса открытого акционерного общества «Дальневосточный завод «Звезда» и</w:t>
            </w:r>
            <w:r w:rsidRPr="000B25EE">
              <w:rPr>
                <w:rFonts w:ascii="Times New Roman" w:hAnsi="Times New Roman"/>
                <w:i/>
                <w:color w:val="000000"/>
                <w:sz w:val="20"/>
                <w:szCs w:val="28"/>
              </w:rPr>
              <w:t xml:space="preserve"> </w:t>
            </w:r>
            <w:r w:rsidRPr="000B25EE">
              <w:rPr>
                <w:rFonts w:ascii="Times New Roman" w:hAnsi="Times New Roman"/>
                <w:color w:val="000000"/>
                <w:sz w:val="20"/>
                <w:szCs w:val="28"/>
              </w:rPr>
              <w:t>обозначает следующие перспективы развития судостроения  на Дальнем Востоке – «</w:t>
            </w:r>
            <w:r w:rsidRPr="000B25EE">
              <w:rPr>
                <w:rFonts w:ascii="Times New Roman" w:hAnsi="Times New Roman"/>
                <w:sz w:val="20"/>
                <w:szCs w:val="28"/>
              </w:rPr>
              <w:t>Приморский край станет одним из центров производства судов различных классов и оборудования для освоения континентального шельфа.</w:t>
            </w:r>
          </w:p>
          <w:p w:rsidR="00FD16C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Данная стратегия является концептуальной схемой, концентрирующейся на ключевых конкурентных преимуществах края, а также на механизмах реализации этих преимуществ. Стратегия задает общие ориентиры будущего развития социальной и экономической системы для органов государственной власти края, бизнеса, потенциальных инвесторов, является базой для  разработки планов, программ, проектов, прогнозов. Реализация проекта соответствует данным ориентирам.</w:t>
            </w:r>
          </w:p>
          <w:p w:rsidR="00512D5C" w:rsidRPr="000B25EE" w:rsidRDefault="00FD16CC" w:rsidP="00FD16CC">
            <w:pPr>
              <w:spacing w:after="0"/>
              <w:ind w:firstLine="357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«Судостроительный кластер на Дальнем Востоке должен стать крупным производственным центром, который будет выпускать и обслуживать суда разных классов, прежде всего для нашего внутреннего рынка. Такой запрос со стороны отечественных покупателей есть, а значит, новые судостроительные мощности будут востребованы»</w:t>
            </w:r>
            <w:r w:rsidRPr="000B25EE">
              <w:rPr>
                <w:rFonts w:ascii="Times New Roman" w:hAnsi="Times New Roman"/>
                <w:b/>
                <w:sz w:val="20"/>
                <w:szCs w:val="28"/>
              </w:rPr>
              <w:t xml:space="preserve"> - 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из выступления Президента РФ В. В. Путина на </w:t>
            </w:r>
            <w:r w:rsidRPr="000B25EE">
              <w:rPr>
                <w:rFonts w:ascii="Times New Roman" w:hAnsi="Times New Roman"/>
                <w:b/>
                <w:bCs/>
                <w:i/>
                <w:sz w:val="20"/>
                <w:szCs w:val="28"/>
              </w:rPr>
              <w:t>совещании по вопросу создания судостроительного кластера на базе ОАО «Дальневосточный завод «Звезда» в г.</w:t>
            </w:r>
            <w:r w:rsidRPr="000B25EE">
              <w:rPr>
                <w:rFonts w:ascii="Times New Roman" w:hAnsi="Times New Roman"/>
                <w:b/>
                <w:i/>
                <w:sz w:val="20"/>
                <w:szCs w:val="28"/>
              </w:rPr>
              <w:t xml:space="preserve"> Владивостоке, 13 ноября  2014г.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Оценка потенциального спроса и (или) объема рынка на продукцию (услуги)</w:t>
            </w:r>
            <w:r w:rsidR="00096CF6" w:rsidRPr="000B25E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Для проекта создания Судостроительного комплекса «Звезда» будет характерно решение первоочередной задачи российского судостроения по преодолению исторически сложившегося технологического отставания в части организации производства гражданского судостроения путем внедрения новейших судостроительных технологий и соответствия лучшим мировым показателям производительности труда.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Однако выход на сложившийся внешний рынок судостроительной продукции в традиционном транспортном судостроении (балкеры и танкеры неледового плавания либо низших ледовых классов) будет затруднен по объективным причинам. Конкуренция с Китаем, Японией и Кореей в строительстве транспортных судов массовой постройки бесперспективна по причине отсутствия схожих граничных условий функционирования.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 xml:space="preserve">Исходя из динамики развития энергетической отрасли и конкурентных преимуществ будущих судостроительных мощностей Проекта, наиболее перспективным для России или для проекта будет рынок гражданского судостроения, связанный с добычей и транспортировкой жидких углеводородов с шельфовых месторождений, где расположены крупнейшие запасы углеводородов. 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lastRenderedPageBreak/>
              <w:t>Драйвером роста спроса на продукцию судостроения в России станет потребность в уникальных морских буровых установках и нефтегазовых сооружениях (добычных платформ) и, соответственно, судах обслуживающего флота.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По заключению отраслевых экспертов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1"/>
            </w:r>
            <w:r w:rsidRPr="000B25EE">
              <w:rPr>
                <w:rFonts w:ascii="Times New Roman" w:hAnsi="Times New Roman"/>
                <w:sz w:val="20"/>
                <w:szCs w:val="28"/>
              </w:rPr>
              <w:t>, перспективный рынок продукции проекта включает разнообразную номенклатуру сложных наукоемких морских судов обслуживающего флота, морскую технику для изучения и освоения нефтегазового потенциала континентального шельфа России, буксиры, спасатели, принципиально новые крупно- и среднетоннажные суда усиленного ледового класса (танкеры и газовозы).</w:t>
            </w:r>
          </w:p>
          <w:p w:rsidR="00096CF6" w:rsidRPr="000B25EE" w:rsidRDefault="00096CF6" w:rsidP="00096CF6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B25EE">
              <w:rPr>
                <w:rFonts w:ascii="Times New Roman" w:hAnsi="Times New Roman"/>
                <w:sz w:val="20"/>
                <w:szCs w:val="28"/>
              </w:rPr>
              <w:t>Основными заказчиками судов и морской техники в России являются</w:t>
            </w:r>
            <w:r w:rsidRPr="000B25EE">
              <w:rPr>
                <w:rFonts w:ascii="Times New Roman" w:hAnsi="Times New Roman"/>
                <w:sz w:val="20"/>
                <w:szCs w:val="28"/>
              </w:rPr>
              <w:footnoteReference w:id="2"/>
            </w:r>
            <w:r w:rsidRPr="000B25EE">
              <w:rPr>
                <w:rFonts w:ascii="Times New Roman" w:hAnsi="Times New Roman"/>
                <w:sz w:val="20"/>
                <w:szCs w:val="28"/>
              </w:rPr>
              <w:t xml:space="preserve"> судоходные и нефтегазовые компании, реализующие проекты в Арктических широтах и на Дальнем Востоке России: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«НК «Роснефть» (включая совместные предприятия);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«Газпром» (в том  числе компания «Сахалин Энерджи Инвестмент компани Лтд», ОАО «Газпром нефть», ООО «Газфлот»)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«Лукойл»;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«НОВАТЭК», в том числе ОАО «Ямал СПГ»;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«Сибур»;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«Совкомфлот»;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«Приморское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«Мурманское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 xml:space="preserve">ОАО «Дальневосточное морское пароходство»; 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ОАО «Сахалинское морское пароходство»;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Группа компаний «Фемко»;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«Феско»;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«Росморпорт»;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ФГУП «Атомфлот»;</w:t>
            </w:r>
          </w:p>
          <w:p w:rsidR="00096CF6" w:rsidRPr="000B25EE" w:rsidRDefault="00096CF6" w:rsidP="00096CF6">
            <w:pPr>
              <w:pStyle w:val="a"/>
              <w:spacing w:before="0"/>
              <w:rPr>
                <w:sz w:val="20"/>
                <w:szCs w:val="28"/>
                <w:shd w:val="clear" w:color="auto" w:fill="auto"/>
                <w:lang w:val="ru-RU" w:eastAsia="ru-RU"/>
              </w:rPr>
            </w:pPr>
            <w:r w:rsidRPr="000B25EE">
              <w:rPr>
                <w:sz w:val="20"/>
                <w:szCs w:val="28"/>
                <w:shd w:val="clear" w:color="auto" w:fill="auto"/>
                <w:lang w:val="ru-RU" w:eastAsia="ru-RU"/>
              </w:rPr>
              <w:t>и др.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Именно указанные компании будут генерировать основной спрос на продукцию судостроительного комплекса «Звезда».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Учитывая общегосударственную значимость Проекта, оценка потенциального спроса, предложения и загрузки проводилась на условиях открытости информации со стороны основных заказчиков.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ОАО «НК «Роснефть», ОАО «Газпром», ОАО «Лукойл», ОАО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> </w:t>
            </w: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«Совкомфлот», ФГУП «Росморпорт»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t xml:space="preserve"> и другими предприятиями были </w:t>
            </w:r>
            <w:r w:rsidRPr="000B25EE">
              <w:rPr>
                <w:rFonts w:eastAsia="Times New Roman"/>
                <w:sz w:val="20"/>
                <w:szCs w:val="28"/>
                <w:lang w:val="ru-RU" w:eastAsia="ru-RU"/>
              </w:rPr>
              <w:lastRenderedPageBreak/>
              <w:t xml:space="preserve">спрогнозированы долгосрочные потребности в продукции судостроении на основании своих инвестиционных планов. 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 xml:space="preserve">В соответствии с поручениями Правительства Российской Федерации (от 5 апреля 2013 г. № РД-П7-2202,) под руководством Минпромторга России и с привлечением отраслевых экспертов (ФГУП «Крыловский государственный научный центр») в течение 2013-2014 гг. был консолидирован суммарный объем рынка российского рынка. 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Общее количество судов и морской техники, планируемых к постройке до 2030 года составило практически 8000 ед., включая внутренний водный транспорт.</w:t>
            </w:r>
          </w:p>
          <w:p w:rsidR="00096CF6" w:rsidRPr="000B25EE" w:rsidRDefault="00096CF6" w:rsidP="00096CF6">
            <w:pPr>
              <w:pStyle w:val="a5"/>
              <w:spacing w:before="0"/>
              <w:rPr>
                <w:rFonts w:eastAsia="Times New Roman"/>
                <w:sz w:val="20"/>
                <w:szCs w:val="28"/>
                <w:lang w:eastAsia="ru-RU"/>
              </w:rPr>
            </w:pPr>
            <w:r w:rsidRPr="000B25EE">
              <w:rPr>
                <w:rFonts w:eastAsia="Times New Roman"/>
                <w:sz w:val="20"/>
                <w:szCs w:val="28"/>
                <w:lang w:eastAsia="ru-RU"/>
              </w:rPr>
              <w:t>Более подробно потребности российских заказчиков в судах и морской технике описаны в бизнес-плане Проекта.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Срок реализации инвестиционного проекта</w:t>
            </w:r>
          </w:p>
          <w:p w:rsidR="00366F45" w:rsidRPr="000B25EE" w:rsidRDefault="00366F45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2012-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2024 гг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строительства</w:t>
            </w:r>
          </w:p>
          <w:p w:rsidR="00366F45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расширенная очередь - 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>2012-20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19</w:t>
            </w:r>
            <w:r w:rsidR="00E7184C" w:rsidRPr="000B25EE"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2018 – 2022 гг.</w:t>
            </w:r>
          </w:p>
          <w:p w:rsidR="0033729E" w:rsidRPr="000B25EE" w:rsidRDefault="0033729E" w:rsidP="0033729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очередь – 2021 – 2024 гг.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E7184C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Фаза эксплуатации</w:t>
            </w:r>
          </w:p>
          <w:p w:rsidR="00366F45" w:rsidRPr="000B25EE" w:rsidRDefault="00E7184C" w:rsidP="00E7184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 2016 г.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капитальных вложений в реальных ценах</w:t>
            </w:r>
          </w:p>
          <w:p w:rsidR="008E7A4D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Объем финансирования</w:t>
            </w:r>
          </w:p>
          <w:p w:rsidR="00B32747" w:rsidRPr="000B25EE" w:rsidRDefault="00B32747" w:rsidP="00E0671A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145 483 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. 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Заемное финансирование, планируемый срок погашения кредитов и займов</w:t>
            </w:r>
          </w:p>
          <w:p w:rsidR="008E7A4D" w:rsidRPr="000B25EE" w:rsidRDefault="00D5043C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7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000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. руб. — за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ймы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ЗАО «СТС»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погашение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по действующим договорам займа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сентябре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2018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— 12,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0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 млрд. руб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.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, погашение планируемых к привлечению займов — с 2023 по 2025 гг.</w:t>
            </w:r>
            <w:r w:rsidR="00B32747" w:rsidRPr="000B25EE">
              <w:rPr>
                <w:rFonts w:ascii="Times New Roman" w:hAnsi="Times New Roman"/>
                <w:sz w:val="20"/>
                <w:szCs w:val="20"/>
              </w:rPr>
              <w:t>;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21D04" w:rsidRPr="005774F0" w:rsidRDefault="00B32747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12</w:t>
            </w:r>
            <w:r w:rsidR="00D5043C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350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 руб. — кредит АО «Газпромбанк»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(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погашение по действующему 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 xml:space="preserve">кредитному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 xml:space="preserve">договору: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2016 г. 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10,2 млрд. руб., </w:t>
            </w:r>
            <w:r w:rsidR="003166E0" w:rsidRPr="000B25E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2017 г. </w:t>
            </w:r>
            <w:r w:rsidR="00A32AFC" w:rsidRPr="000B25EE">
              <w:rPr>
                <w:rFonts w:ascii="Times New Roman" w:hAnsi="Times New Roman"/>
                <w:sz w:val="20"/>
                <w:szCs w:val="20"/>
              </w:rPr>
              <w:t>—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 xml:space="preserve"> 2,15</w:t>
            </w:r>
            <w:r w:rsidR="004934A9"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552260" w:rsidRPr="000B25EE">
              <w:rPr>
                <w:rFonts w:ascii="Times New Roman" w:hAnsi="Times New Roman"/>
                <w:sz w:val="20"/>
                <w:szCs w:val="20"/>
              </w:rPr>
              <w:t>млрд. руб.)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5774F0" w:rsidRDefault="004373E6" w:rsidP="0035078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774F0">
              <w:rPr>
                <w:rFonts w:ascii="Times New Roman" w:hAnsi="Times New Roman"/>
                <w:b/>
                <w:sz w:val="20"/>
                <w:szCs w:val="20"/>
              </w:rPr>
              <w:t>Собственный капитал</w:t>
            </w:r>
          </w:p>
          <w:p w:rsidR="00B32747" w:rsidRPr="000B25EE" w:rsidRDefault="00D5043C" w:rsidP="00121D04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54 5</w:t>
            </w:r>
            <w:r w:rsidR="00121D04" w:rsidRPr="000B25EE">
              <w:rPr>
                <w:rFonts w:ascii="Times New Roman" w:hAnsi="Times New Roman"/>
                <w:sz w:val="20"/>
                <w:szCs w:val="20"/>
              </w:rPr>
              <w:t>33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. руб. — собственные средства ООО «ССК «Звезда» 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="000C58D4" w:rsidRPr="000B25EE">
              <w:rPr>
                <w:rFonts w:ascii="Times New Roman" w:hAnsi="Times New Roman"/>
                <w:sz w:val="20"/>
                <w:szCs w:val="20"/>
              </w:rPr>
              <w:t>партнёра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по инвестиционному проекту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Бюджетные средства</w:t>
            </w:r>
          </w:p>
          <w:p w:rsidR="008E7A4D" w:rsidRPr="000B25EE" w:rsidRDefault="00B81E61" w:rsidP="00E0671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E7A4D" w:rsidRPr="000B25EE">
              <w:rPr>
                <w:rFonts w:ascii="Times New Roman" w:hAnsi="Times New Roman"/>
                <w:sz w:val="20"/>
                <w:szCs w:val="20"/>
              </w:rPr>
              <w:t>00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E0671A" w:rsidRPr="000B25EE">
              <w:rPr>
                <w:rFonts w:ascii="Times New Roman" w:hAnsi="Times New Roman"/>
                <w:sz w:val="20"/>
                <w:szCs w:val="20"/>
              </w:rPr>
              <w:t>млн.</w:t>
            </w:r>
            <w:r w:rsidR="008E7A4D" w:rsidRPr="000B25E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="008E7A4D" w:rsidRPr="000B25EE">
              <w:rPr>
                <w:rFonts w:ascii="Times New Roman" w:hAnsi="Times New Roman"/>
                <w:sz w:val="20"/>
                <w:szCs w:val="20"/>
              </w:rPr>
              <w:t>руб. — Субсидия на уплату процентов по ранее привлечённым кредитам за счёт средств федерального бюджета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Фонда национального благосостояния (с указанием предельного объема средств Фонда национального благосостояния, предельного срока и минимальной доходности их размещения)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9.6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Средства пенсионных накоплений</w:t>
            </w:r>
          </w:p>
          <w:p w:rsidR="00B32747" w:rsidRPr="000B25EE" w:rsidRDefault="00B32747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0 руб.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Рейтинг долгосрочной кредитоспособности инициатора (если применимо)</w:t>
            </w:r>
          </w:p>
          <w:p w:rsidR="00552260" w:rsidRPr="000B25EE" w:rsidRDefault="00552260" w:rsidP="0035078B">
            <w:pPr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ОАО «НК Роснефть» рейтинг 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0B25EE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B25EE">
              <w:rPr>
                <w:rFonts w:ascii="Times New Roman" w:hAnsi="Times New Roman"/>
                <w:sz w:val="20"/>
                <w:szCs w:val="20"/>
              </w:rPr>
              <w:t xml:space="preserve"> BB+ (http://www.rosneft.ru/Investors/instruments/Ratings/)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6E6378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Социальные эффекты от инвестиционного проекта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Создание судостроительного кластера на базе Проекта СК «Звезда» будет способствовать экономическому росту Дальневосточного региона, а также оказывать существенное положительное влияние на состояние местной социальной сферы вследствие следующих факторов: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локализация на одной территории основных участников кластерной системы;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стимулирование увеличения количества малых и средних предприятий;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 xml:space="preserve">синергетический эффект и повышение конкурентоспособности входящих в кластер предприятий;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повышение эффективности системы подготовки кадров;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возможность создания рабочих мест и привлечения населения в регион, а также повышения производительности труда за счет внедрения современных технологий;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судостроительного сектора в Дальневосточном регионе России путем развития центров исследования и разработок, центров обучения и сети поставок;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552"/>
                <w:tab w:val="left" w:pos="977"/>
              </w:tabs>
              <w:spacing w:after="120" w:line="240" w:lineRule="auto"/>
              <w:ind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дополнительные налоговые поступления в бюджеты всех уровней.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>Только на Проекте СК «Звезда» будет создано около 7 тыс. новых рабочих мест (на 1 рабочее место в судостроении приходится 7 рабочих мест в смежных отраслях).</w:t>
            </w:r>
          </w:p>
          <w:p w:rsidR="006E6378" w:rsidRPr="000B25EE" w:rsidRDefault="006E6378" w:rsidP="0043226E">
            <w:pPr>
              <w:pStyle w:val="a5"/>
              <w:tabs>
                <w:tab w:val="left" w:pos="410"/>
                <w:tab w:val="left" w:pos="552"/>
              </w:tabs>
              <w:ind w:firstLine="268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0B25EE">
              <w:rPr>
                <w:rFonts w:eastAsia="Times New Roman"/>
                <w:sz w:val="20"/>
                <w:szCs w:val="20"/>
                <w:lang w:val="ru-RU" w:eastAsia="ru-RU"/>
              </w:rPr>
              <w:t xml:space="preserve">Планируемые социальные и экономические эффекты от создания судостроительного кластера: 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локализации до 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увеличение доли современных технологий до 90%;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загрузки мощностей судостроения до 70-75%;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доля обновленных производственных фондов 60-70%;</w:t>
            </w:r>
          </w:p>
          <w:p w:rsidR="006E6378" w:rsidRPr="000B25EE" w:rsidRDefault="006E6378" w:rsidP="0043226E">
            <w:pPr>
              <w:pStyle w:val="a1"/>
              <w:numPr>
                <w:ilvl w:val="0"/>
                <w:numId w:val="3"/>
              </w:numPr>
              <w:tabs>
                <w:tab w:val="left" w:pos="410"/>
                <w:tab w:val="left" w:pos="552"/>
                <w:tab w:val="left" w:pos="977"/>
              </w:tabs>
              <w:spacing w:after="120" w:line="240" w:lineRule="auto"/>
              <w:ind w:left="714" w:hanging="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рост производительности труда в отрасли в 3-3,5 раза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43226E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Создание объектов социальной инфраструктуры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Проект строительства судостроительного комплекса «Звезда» имеет государственное значение для развития судостроительной отрасли, а также важное значение для социально-экономического развития дальневосточного региона. Реализация проекта влечет за собой необходимость решения широкого круга вопросов социального характера, в том числе основного вопроса – обеспечения жильем работников верфи и их семей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В соответствии с п.5 перечня поручений Пр-2747 от 28 ноября 2014 г., п.8 Пр-1919 от 23 сентября 2015 г. решение вопроса обеспечения жильем сотрудников судостроительного комплекса возложено на АО «Фонд развития Дальнего Востока и Байкальского региона», Администрацию Приморского края и ОАО «Агентство по ипотечному жилищному кредитованию» совместно с Минфином России, Минстроем России и другими органами государственной власти и организациями.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Для целей обеспечения жильём работников СК «Звезда» во взаимодействии с администрацией Большого Камня отобраны три земельных участка, расположенных в зоне жилой застройки под строительство микрорайонов «Шестой», «Парковый» и «Садовый». Администрацией городского округа Большой Камень участки зарезервированы и поставлены на кадастровый учет.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Принято решение начать работы с застройки микрорайона «Шестой» в ГО Большой Камень. </w:t>
            </w:r>
          </w:p>
          <w:p w:rsidR="0033729E" w:rsidRPr="000B25EE" w:rsidRDefault="0033729E" w:rsidP="004E673D">
            <w:pPr>
              <w:pStyle w:val="4"/>
              <w:shd w:val="clear" w:color="auto" w:fill="auto"/>
              <w:spacing w:after="0" w:line="300" w:lineRule="auto"/>
              <w:ind w:left="20" w:right="40" w:firstLine="248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 xml:space="preserve">Согласно </w:t>
            </w:r>
            <w:r w:rsidR="0043226E" w:rsidRPr="000B25EE">
              <w:rPr>
                <w:spacing w:val="0"/>
                <w:sz w:val="20"/>
                <w:szCs w:val="20"/>
                <w:lang w:eastAsia="ru-RU"/>
              </w:rPr>
              <w:t>плану поэтапного ввода жилого фонда и социальной инфраструктуры, составленному Минвостокразвития России ввод в эксплуатацию жилых домов планируется следующим образом:</w:t>
            </w:r>
          </w:p>
          <w:p w:rsidR="0043226E" w:rsidRPr="000B25EE" w:rsidRDefault="0043226E" w:rsidP="004E673D">
            <w:pPr>
              <w:pStyle w:val="4"/>
              <w:numPr>
                <w:ilvl w:val="0"/>
                <w:numId w:val="4"/>
              </w:numPr>
              <w:shd w:val="clear" w:color="auto" w:fill="auto"/>
              <w:spacing w:after="0" w:line="300" w:lineRule="auto"/>
              <w:ind w:right="4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Строительство 3-х домов (210 квартир, 525 жителей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, ответственный – ОАО «ДВЗ «Звезда»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):</w:t>
            </w:r>
          </w:p>
          <w:p w:rsidR="0043226E" w:rsidRPr="000B25EE" w:rsidRDefault="0043226E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–II квартал 2017 года</w:t>
            </w:r>
            <w:r w:rsidR="00BC2AA9" w:rsidRPr="000B25EE">
              <w:rPr>
                <w:spacing w:val="0"/>
                <w:sz w:val="20"/>
                <w:szCs w:val="20"/>
                <w:lang w:eastAsia="ru-RU"/>
              </w:rPr>
              <w:t>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lastRenderedPageBreak/>
              <w:t>- 1 дом –III квартал 2017 года;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782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- 1 дом –IV квартал 2017 года.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2) Строительство 3-х домов (750 квартир, 1 875 жителей, ответственный – Администрация Приморского края): IV квартал 2017 года</w:t>
            </w:r>
          </w:p>
          <w:p w:rsidR="00BC2AA9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0" w:right="40" w:firstLine="390"/>
              <w:rPr>
                <w:spacing w:val="0"/>
                <w:sz w:val="20"/>
                <w:szCs w:val="20"/>
                <w:lang w:eastAsia="ru-RU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3) Строительство I очереди - 8 домов (1 582 квартиры, 4 021 житель, ответственный – Фонд развития Дальнего Востока): II квартал 2018 года</w:t>
            </w:r>
          </w:p>
          <w:p w:rsidR="009E331D" w:rsidRPr="000B25EE" w:rsidRDefault="00BC2AA9" w:rsidP="004E673D">
            <w:pPr>
              <w:pStyle w:val="4"/>
              <w:shd w:val="clear" w:color="auto" w:fill="auto"/>
              <w:spacing w:after="0" w:line="300" w:lineRule="auto"/>
              <w:ind w:left="23" w:right="40" w:firstLine="391"/>
              <w:rPr>
                <w:sz w:val="20"/>
                <w:szCs w:val="20"/>
              </w:rPr>
            </w:pPr>
            <w:r w:rsidRPr="000B25EE">
              <w:rPr>
                <w:spacing w:val="0"/>
                <w:sz w:val="20"/>
                <w:szCs w:val="20"/>
                <w:lang w:eastAsia="ru-RU"/>
              </w:rPr>
              <w:t>4) Строительство II очереди – 3 домов (720 квартир, 1 614 жителей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, ответственный – Фонд развития Дальнего Востока</w:t>
            </w:r>
            <w:r w:rsidRPr="000B25EE">
              <w:rPr>
                <w:spacing w:val="0"/>
                <w:sz w:val="20"/>
                <w:szCs w:val="20"/>
                <w:lang w:eastAsia="ru-RU"/>
              </w:rPr>
              <w:t>)</w:t>
            </w:r>
            <w:r w:rsidR="004E673D" w:rsidRPr="000B25EE">
              <w:rPr>
                <w:spacing w:val="0"/>
                <w:sz w:val="20"/>
                <w:szCs w:val="20"/>
                <w:lang w:eastAsia="ru-RU"/>
              </w:rPr>
              <w:t>: I квартал 2020 года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Риски реализации инвестиционного проекта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Технологические и инфраструктурные риски — Риск получения продукции низкого качества или невыхода на запланированную мощность по причине ошибок при проектировании, ошибок при инжиниринге или ненадлежащего контроля за процессом производства/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сырьевой базы — Риск заключается в невозможности получения требуемого сырья (сталь, комплектующие), его несвоевременном получении или получении недостаточного качества.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команды проекта и персонала — Отсутствие необходимых навыков, опыта и квалификации у менеджмента для реализации запланированного Проекта, невозможность привлечения квалифицированного персонала.</w:t>
            </w:r>
          </w:p>
          <w:p w:rsidR="0042364B" w:rsidRPr="000B25EE" w:rsidRDefault="0042364B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Экологические, социальные и репутационные риски — Риск негативного воздействия на окружающую среду вследствие реализации проекта, риски, связанные с производственной и управле</w:t>
            </w:r>
            <w:r w:rsidR="00660FB4" w:rsidRPr="000B25EE">
              <w:rPr>
                <w:rFonts w:ascii="Times New Roman" w:hAnsi="Times New Roman"/>
                <w:sz w:val="20"/>
                <w:szCs w:val="20"/>
              </w:rPr>
              <w:t>нческой деятельностью компании.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задержки запуска производства — Риск связан с задержкой завершения строительства завода и задержкой выхода производства на плановую загрузку.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Валютный риск — связан с возможностью финансовых потерь, вызванных изменениями курсов валют, в случаях, когда денежные потоки выражены в разных валютах.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недоступности кредитных ресурсов — Невозможность привлечения кредитных ресурсов для финансирования проекта на приемлемых условиях.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недофинансирования — Риск связан с непредоставлением и/или несвоевременным предоставлением дополнительного финансирования в случае превышения фактических капитальных затрат по Проекту над плановыми.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Рыночные риски, риск снижения спроса на продукцию, обусловленный внешними факторами — Рыночный риск заключается в возможном негативном изменении рыночной конъюнктуры, ведущем к невозможности погашения кредитов из-за падения цен и/или объемов продаж. Уменьшение покупательной способности основных заказчиков, например изменение конъюнктуры на мировом рынке нефти и газа, которая может привести к снижению цен на углеводороды.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Политический риск — Риск финансовых потерь в случае ужесточения санкций в отношении России, например, отложенный спрос на продукцию офшорного судостроения (в случае откладывания проектов добычи углеводородов на шельфовых месторождениях). Отраслевые риски, связанные с взаимоотношениями с естественными монополиями РФ, министерствами (торговли, обороны и т.п.).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Внешнеполитические риски — Невозможность использования  наработок, опыта, ноу-хау в проектировании верфи, технологических схем, организации производства передовых зарубежных консультантов STX, IMG, DSME, Samsung. Объединение российских арктических технологий с современной технологией по строительства судов, разработанной компанией IMG.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Риск законодательных изменений — Негативные изменения в законодательстве (например, налоговом), приводящие к снижению показателей эффективности проекта.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Инфляционный риск — Риск увеличения стоимости основных ресурсов, необходимых для производства (материалы, оборудование, ФОТ и т.д.).</w:t>
            </w:r>
          </w:p>
          <w:p w:rsidR="00660FB4" w:rsidRPr="000B25EE" w:rsidRDefault="00660FB4" w:rsidP="00660FB4">
            <w:pPr>
              <w:pStyle w:val="a1"/>
              <w:numPr>
                <w:ilvl w:val="0"/>
                <w:numId w:val="8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Форс-мажорные риски — Природные явления, имеющие стихийный характер (например, землетрясения или пожары),  экстремальные ситуации (война, эпидемии, забастовки, противоправные действия третьих лиц),  запретительные акты государства: объявление чрезвычайного положения, запрет передвижения в определённые районы.</w:t>
            </w:r>
          </w:p>
          <w:p w:rsidR="006923E8" w:rsidRPr="000B25EE" w:rsidRDefault="00660FB4" w:rsidP="00660FB4">
            <w:pPr>
              <w:spacing w:after="6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Инструменты и мероприятия по минимизации рисков приведены в бизнес-плане.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Pr="000B25EE" w:rsidRDefault="004373E6" w:rsidP="0035078B">
            <w:pPr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B25EE">
              <w:rPr>
                <w:rFonts w:ascii="Times New Roman" w:hAnsi="Times New Roman"/>
                <w:b/>
                <w:sz w:val="20"/>
                <w:szCs w:val="20"/>
              </w:rPr>
              <w:t>Анализ сильных и слабых сторон, возможностей и угроз инвестиционного проекта</w:t>
            </w:r>
          </w:p>
          <w:tbl>
            <w:tblPr>
              <w:tblW w:w="12507" w:type="dxa"/>
              <w:tblBorders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2"/>
              <w:gridCol w:w="6095"/>
            </w:tblGrid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Сильные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S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Слабые стороны (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>W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)</w:t>
                  </w:r>
                </w:p>
              </w:tc>
            </w:tr>
            <w:tr w:rsidR="006923E8" w:rsidRPr="000B25EE" w:rsidTr="00AC6F75">
              <w:trPr>
                <w:trHeight w:val="1131"/>
              </w:trPr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Наличие подтвержденного спроса на морскую технику и суда ледового класса со стороны крупных российских заказчиков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 Проекте используется технология крупноблочной сборки судов и морской техники, широко применяемая лидерами мирового судостроения, но мало используемая в РФ. Данная технология позволит значительно сократить сроки и стоимость строительства судов и морской техники в РФ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Проект реализуется «с нуля», а не посредством модернизации существующего производства, что позволит выстроить технологическую цепочку максимально эффективно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Невысокая конкуренция со стороны российских предприятий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Выгодное месторасположение планируемой верфи – вблизи маршрутов транспортировки углеводородного сырья от месторождений Сахалинского шельфа и крупных промышленных центров и транспортных узлов Приморского края, максимальная близость к шельфовым месторождениям Северо-Восточной Арктики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Прямое указание Президента Российской Федерации о размещении заказов на строительство морской техники только на отечественных верфях и, как результат, преимущественное позиционирование ДЦСС, способствующее получению контрактов от внутрироссийских </w:t>
                  </w: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заказчиков;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Создание собственного инжинирингового центра. Повышение эффективности работы в связке «Конструкторское бюро-верфь» путем  кооперации с ведущими зарубежными судостроительными предприятиями, нацеленными на передачу российской стороне компетенций и технологий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Текущая стоимость рабочей силы в России считается более выгодной работодателю по сравнению с другими странами с развитой судостроительной отраслью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 xml:space="preserve">Неопределенность с доступностью дополнительного финансирования на капитальные расходы и оборотные средства без правительственной поддержки. В текущей ситуации на рынках капитала, долгосрочное проектное финансирование недоступно, а использование краткосрочного финансирования экономически нецелесообразно.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Недостаточное количество опытных работников судостроительной отрасли в области проектирования и производства, дефицит проектировщиков и квалифицированных кадров (например, по сравнению с северо-западным регионом РФ), ограничения по найму и подготовке квалифицированных кадров, низкая локализация поставщиков материалов и комплектующих, высокая доля импорта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Отсутствие в регионе реализации Проекта производителей стали, которая требуется в больших количествах, высокая зависимость от тарифов на ЖД перевозку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Недостаточная подготовленность необходимой инфраструктуры (жилье для сотрудников верфи, соцкультбыт и т. п.) для привлечения значительного количества трудовых ресурсов, необходимость понесения значительных связанных с этим затрат </w:t>
                  </w:r>
                  <w:r w:rsidRPr="000B25EE">
                    <w:rPr>
                      <w:rFonts w:ascii="Times New Roman" w:hAnsi="Times New Roman"/>
                      <w:sz w:val="20"/>
                    </w:rPr>
                    <w:lastRenderedPageBreak/>
                    <w:t>на социально-бытовое обеспечение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18" w:hangingChars="59" w:hanging="118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Длительные сроки принятия и реализации корпоративных решений и решений государственного уровня по Проекту 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lastRenderedPageBreak/>
                    <w:t>Возможности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(O)</w:t>
                  </w: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F2F2F2"/>
                  <w:hideMark/>
                </w:tcPr>
                <w:p w:rsidR="006923E8" w:rsidRPr="000B25EE" w:rsidRDefault="006923E8" w:rsidP="00183B5E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lang w:val="en-US"/>
                    </w:rPr>
                  </w:pPr>
                  <w:r w:rsidRPr="000B25EE">
                    <w:rPr>
                      <w:rFonts w:ascii="Times New Roman" w:hAnsi="Times New Roman"/>
                      <w:b/>
                      <w:sz w:val="20"/>
                    </w:rPr>
                    <w:t>Угрозы</w:t>
                  </w:r>
                  <w:r w:rsidRPr="000B25EE">
                    <w:rPr>
                      <w:rFonts w:ascii="Times New Roman" w:hAnsi="Times New Roman"/>
                      <w:b/>
                      <w:sz w:val="20"/>
                      <w:lang w:val="en-US"/>
                    </w:rPr>
                    <w:t xml:space="preserve"> (T)</w:t>
                  </w:r>
                </w:p>
              </w:tc>
            </w:tr>
            <w:tr w:rsidR="006923E8" w:rsidRPr="000B25EE" w:rsidTr="00AC6F75">
              <w:tc>
                <w:tcPr>
                  <w:tcW w:w="6412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Развитие законодательных инициатив и ускорение принятия необходимых нормативно-правовых актов в сфере модернизации судостроительной промышленности, в том числе в рамках реформирования российской налоговой системы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Разработка крупных шельфовых месторождений будет способствовать формированию устойчивого спроса на продукцию, существующих мощностей для производства которой в России недостаточно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Возможности по кооперации с предприятиями Азиатско-Тихоокеанского региона и использованию технологий ведущих мировых судостроительных компаний, в том числе по направлению импортозамещения в случае интенсификации  экономических санкций 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Возможность подготовки высококвалифицированных кадров в собственном Учебном центре и в процессе стажировок на крупнейших (ведущих) зарубежных предприятиях отрасли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 xml:space="preserve"> При достижении плановых показателей эффективности – возможность выхода верфи на внешние рынки</w:t>
                  </w:r>
                </w:p>
                <w:p w:rsidR="006923E8" w:rsidRPr="000B25EE" w:rsidRDefault="006923E8" w:rsidP="00183B5E">
                  <w:pPr>
                    <w:spacing w:after="60"/>
                    <w:ind w:left="142" w:hanging="142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095" w:type="dxa"/>
                  <w:tcBorders>
                    <w:top w:val="single" w:sz="4" w:space="0" w:color="404040"/>
                    <w:bottom w:val="single" w:sz="4" w:space="0" w:color="404040"/>
                  </w:tcBorders>
                  <w:shd w:val="clear" w:color="auto" w:fill="auto"/>
                  <w:hideMark/>
                </w:tcPr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Экономическая эффективность Проекта в значительной степени зависит от колебаний цен на сталь, на начальном этапе от импортных комплектующих и оборудования, уровня инфляции и курсов обмена валют, которые достаточно волатильны на текущий момент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Спад мировой экономики и медленные темпы ее восстановления могут привести к сокращению спроса и продолжению тенденции к снижению цены на газ и нефть, что повлечет уменьшение спроса на продукцию судостроения.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запрета на поставки оборудования для строительства судов и морской техники и ее комплектующих, а также наработок, ноу-хау в проектировании верфи, технологических схем, организации производства передовых зарубежных консультантов по причине введения внешних экономических санкций.</w:t>
                  </w:r>
                </w:p>
                <w:p w:rsidR="006923E8" w:rsidRPr="000B25EE" w:rsidRDefault="006923E8" w:rsidP="006923E8">
                  <w:pPr>
                    <w:numPr>
                      <w:ilvl w:val="0"/>
                      <w:numId w:val="7"/>
                    </w:numPr>
                    <w:spacing w:after="60" w:line="240" w:lineRule="auto"/>
                    <w:ind w:left="142" w:hanging="142"/>
                    <w:contextualSpacing/>
                    <w:jc w:val="both"/>
                    <w:rPr>
                      <w:rFonts w:ascii="Times New Roman" w:hAnsi="Times New Roman"/>
                      <w:sz w:val="20"/>
                    </w:rPr>
                  </w:pPr>
                  <w:r w:rsidRPr="000B25EE">
                    <w:rPr>
                      <w:rFonts w:ascii="Times New Roman" w:hAnsi="Times New Roman"/>
                      <w:sz w:val="20"/>
                    </w:rPr>
                    <w:t>Угроза повышения тарифов на ЖД перевозки стали, отсутствие свободных мощностей транспортной системы для перевозки объемов стали, необходимых для реализации Проекта</w:t>
                  </w:r>
                </w:p>
              </w:tc>
            </w:tr>
          </w:tbl>
          <w:p w:rsidR="006923E8" w:rsidRPr="000B25EE" w:rsidRDefault="006923E8" w:rsidP="0035078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373E6" w:rsidRPr="000B25EE" w:rsidTr="005774F0">
        <w:trPr>
          <w:trHeight w:val="285"/>
        </w:trPr>
        <w:tc>
          <w:tcPr>
            <w:tcW w:w="817" w:type="dxa"/>
            <w:shd w:val="clear" w:color="auto" w:fill="auto"/>
            <w:vAlign w:val="center"/>
          </w:tcPr>
          <w:p w:rsidR="004373E6" w:rsidRPr="000B25EE" w:rsidRDefault="004373E6" w:rsidP="003507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474" w:type="dxa"/>
            <w:shd w:val="clear" w:color="auto" w:fill="auto"/>
            <w:vAlign w:val="center"/>
          </w:tcPr>
          <w:p w:rsidR="004373E6" w:rsidRDefault="004373E6" w:rsidP="0079445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B25EE">
              <w:rPr>
                <w:rFonts w:ascii="Times New Roman" w:hAnsi="Times New Roman"/>
                <w:sz w:val="20"/>
                <w:szCs w:val="20"/>
              </w:rPr>
              <w:t>Ответственный исполнитель по инвестиционному проекту и его контактные данные</w:t>
            </w:r>
          </w:p>
          <w:p w:rsidR="00E646CA" w:rsidRPr="000B25EE" w:rsidRDefault="00E646CA" w:rsidP="0079445D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АО «ДЦСС»</w:t>
            </w:r>
          </w:p>
        </w:tc>
        <w:tc>
          <w:tcPr>
            <w:tcW w:w="1495" w:type="dxa"/>
            <w:shd w:val="clear" w:color="auto" w:fill="auto"/>
          </w:tcPr>
          <w:p w:rsidR="004373E6" w:rsidRPr="000B25EE" w:rsidRDefault="004373E6" w:rsidP="0035078B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</w:tr>
    </w:tbl>
    <w:p w:rsidR="00A73319" w:rsidRDefault="00A73319"/>
    <w:sectPr w:rsidR="00A73319" w:rsidSect="00EF1531">
      <w:headerReference w:type="default" r:id="rId7"/>
      <w:pgSz w:w="16838" w:h="11906" w:orient="landscape"/>
      <w:pgMar w:top="1701" w:right="1134" w:bottom="850" w:left="1134" w:header="708" w:footer="708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04A" w:rsidRDefault="0097504A" w:rsidP="00096CF6">
      <w:pPr>
        <w:spacing w:after="0" w:line="240" w:lineRule="auto"/>
      </w:pPr>
      <w:r>
        <w:separator/>
      </w:r>
    </w:p>
  </w:endnote>
  <w:endnote w:type="continuationSeparator" w:id="0">
    <w:p w:rsidR="0097504A" w:rsidRDefault="0097504A" w:rsidP="0009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04A" w:rsidRDefault="0097504A" w:rsidP="00096CF6">
      <w:pPr>
        <w:spacing w:after="0" w:line="240" w:lineRule="auto"/>
      </w:pPr>
      <w:r>
        <w:separator/>
      </w:r>
    </w:p>
  </w:footnote>
  <w:footnote w:type="continuationSeparator" w:id="0">
    <w:p w:rsidR="0097504A" w:rsidRDefault="0097504A" w:rsidP="00096CF6">
      <w:pPr>
        <w:spacing w:after="0" w:line="240" w:lineRule="auto"/>
      </w:pPr>
      <w:r>
        <w:continuationSeparator/>
      </w:r>
    </w:p>
  </w:footnote>
  <w:footnote w:id="1">
    <w:p w:rsidR="00096CF6" w:rsidRPr="0026142D" w:rsidRDefault="00096CF6" w:rsidP="00096CF6">
      <w:pPr>
        <w:pStyle w:val="ab"/>
      </w:pPr>
      <w:r>
        <w:rPr>
          <w:rStyle w:val="aa"/>
        </w:rPr>
        <w:footnoteRef/>
      </w:r>
      <w:r>
        <w:t xml:space="preserve"> </w:t>
      </w:r>
      <w:r w:rsidRPr="0026142D">
        <w:t>Отчет ФГУП «Крыловский государственный научный центр», 2012</w:t>
      </w:r>
    </w:p>
  </w:footnote>
  <w:footnote w:id="2">
    <w:p w:rsidR="00096CF6" w:rsidRPr="00D9205D" w:rsidRDefault="00096CF6" w:rsidP="00096CF6">
      <w:pPr>
        <w:pStyle w:val="ab"/>
      </w:pPr>
      <w:r w:rsidRPr="00D9205D">
        <w:rPr>
          <w:rStyle w:val="aa"/>
        </w:rPr>
        <w:footnoteRef/>
      </w:r>
      <w:r w:rsidRPr="00D9205D">
        <w:t xml:space="preserve"> Краткая характеристика основных судоходных компаний приведена в Приложении </w:t>
      </w:r>
      <w:r>
        <w:rPr>
          <w:lang w:val="ru-RU"/>
        </w:rPr>
        <w:t>3</w:t>
      </w:r>
      <w:r w:rsidRPr="00D9205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8842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528A" w:rsidRPr="0026528A" w:rsidRDefault="0026528A" w:rsidP="0026528A">
        <w:pPr>
          <w:pStyle w:val="af"/>
          <w:jc w:val="center"/>
          <w:rPr>
            <w:rFonts w:ascii="Times New Roman" w:hAnsi="Times New Roman"/>
          </w:rPr>
        </w:pPr>
        <w:r w:rsidRPr="0026528A">
          <w:rPr>
            <w:rFonts w:ascii="Times New Roman" w:hAnsi="Times New Roman"/>
          </w:rPr>
          <w:fldChar w:fldCharType="begin"/>
        </w:r>
        <w:r w:rsidRPr="0026528A">
          <w:rPr>
            <w:rFonts w:ascii="Times New Roman" w:hAnsi="Times New Roman"/>
          </w:rPr>
          <w:instrText>PAGE   \* MERGEFORMAT</w:instrText>
        </w:r>
        <w:r w:rsidRPr="0026528A">
          <w:rPr>
            <w:rFonts w:ascii="Times New Roman" w:hAnsi="Times New Roman"/>
          </w:rPr>
          <w:fldChar w:fldCharType="separate"/>
        </w:r>
        <w:r w:rsidR="00EF1531">
          <w:rPr>
            <w:rFonts w:ascii="Times New Roman" w:hAnsi="Times New Roman"/>
            <w:noProof/>
          </w:rPr>
          <w:t>415</w:t>
        </w:r>
        <w:r w:rsidRPr="0026528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785B"/>
    <w:multiLevelType w:val="hybridMultilevel"/>
    <w:tmpl w:val="017E8D3C"/>
    <w:lvl w:ilvl="0" w:tplc="A644E81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A057E"/>
    <w:multiLevelType w:val="hybridMultilevel"/>
    <w:tmpl w:val="9F86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D013A"/>
    <w:multiLevelType w:val="hybridMultilevel"/>
    <w:tmpl w:val="4B08DEA6"/>
    <w:lvl w:ilvl="0" w:tplc="35E4C9B8">
      <w:start w:val="1"/>
      <w:numFmt w:val="decimal"/>
      <w:lvlText w:val="%1."/>
      <w:lvlJc w:val="left"/>
      <w:pPr>
        <w:ind w:left="1644" w:hanging="93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97" w:hanging="360"/>
      </w:pPr>
    </w:lvl>
    <w:lvl w:ilvl="2" w:tplc="0419001B">
      <w:start w:val="1"/>
      <w:numFmt w:val="lowerRoman"/>
      <w:lvlText w:val="%3."/>
      <w:lvlJc w:val="right"/>
      <w:pPr>
        <w:ind w:left="2517" w:hanging="180"/>
      </w:pPr>
    </w:lvl>
    <w:lvl w:ilvl="3" w:tplc="0419000F">
      <w:start w:val="1"/>
      <w:numFmt w:val="decimal"/>
      <w:lvlText w:val="%4."/>
      <w:lvlJc w:val="left"/>
      <w:pPr>
        <w:ind w:left="3237" w:hanging="360"/>
      </w:pPr>
    </w:lvl>
    <w:lvl w:ilvl="4" w:tplc="04190019">
      <w:start w:val="1"/>
      <w:numFmt w:val="lowerLetter"/>
      <w:lvlText w:val="%5."/>
      <w:lvlJc w:val="left"/>
      <w:pPr>
        <w:ind w:left="3957" w:hanging="360"/>
      </w:pPr>
    </w:lvl>
    <w:lvl w:ilvl="5" w:tplc="0419001B">
      <w:start w:val="1"/>
      <w:numFmt w:val="lowerRoman"/>
      <w:lvlText w:val="%6."/>
      <w:lvlJc w:val="right"/>
      <w:pPr>
        <w:ind w:left="4677" w:hanging="180"/>
      </w:pPr>
    </w:lvl>
    <w:lvl w:ilvl="6" w:tplc="0419000F">
      <w:start w:val="1"/>
      <w:numFmt w:val="decimal"/>
      <w:lvlText w:val="%7."/>
      <w:lvlJc w:val="left"/>
      <w:pPr>
        <w:ind w:left="5397" w:hanging="360"/>
      </w:pPr>
    </w:lvl>
    <w:lvl w:ilvl="7" w:tplc="04190019">
      <w:start w:val="1"/>
      <w:numFmt w:val="lowerLetter"/>
      <w:lvlText w:val="%8."/>
      <w:lvlJc w:val="left"/>
      <w:pPr>
        <w:ind w:left="6117" w:hanging="360"/>
      </w:pPr>
    </w:lvl>
    <w:lvl w:ilvl="8" w:tplc="041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55F77DC"/>
    <w:multiLevelType w:val="hybridMultilevel"/>
    <w:tmpl w:val="F5042776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0127D"/>
    <w:multiLevelType w:val="hybridMultilevel"/>
    <w:tmpl w:val="06845FBE"/>
    <w:lvl w:ilvl="0" w:tplc="4E8CC15C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87F90"/>
    <w:multiLevelType w:val="multilevel"/>
    <w:tmpl w:val="CB4826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71165F4"/>
    <w:multiLevelType w:val="hybridMultilevel"/>
    <w:tmpl w:val="2DD6D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15378"/>
    <w:multiLevelType w:val="hybridMultilevel"/>
    <w:tmpl w:val="1870F800"/>
    <w:lvl w:ilvl="0" w:tplc="A0F41EB2"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E6"/>
    <w:rsid w:val="00076E8B"/>
    <w:rsid w:val="00096CF6"/>
    <w:rsid w:val="000B25EE"/>
    <w:rsid w:val="000C58D4"/>
    <w:rsid w:val="000E1447"/>
    <w:rsid w:val="00121D04"/>
    <w:rsid w:val="0020211C"/>
    <w:rsid w:val="002166A7"/>
    <w:rsid w:val="00231253"/>
    <w:rsid w:val="0026528A"/>
    <w:rsid w:val="002E4B85"/>
    <w:rsid w:val="002F6950"/>
    <w:rsid w:val="003166E0"/>
    <w:rsid w:val="0033729E"/>
    <w:rsid w:val="00366F45"/>
    <w:rsid w:val="0042364B"/>
    <w:rsid w:val="0043226E"/>
    <w:rsid w:val="004373E6"/>
    <w:rsid w:val="00491CF2"/>
    <w:rsid w:val="004934A9"/>
    <w:rsid w:val="004E673D"/>
    <w:rsid w:val="00512D5C"/>
    <w:rsid w:val="00552260"/>
    <w:rsid w:val="005774F0"/>
    <w:rsid w:val="005A0419"/>
    <w:rsid w:val="00660FB4"/>
    <w:rsid w:val="006923E8"/>
    <w:rsid w:val="006E6378"/>
    <w:rsid w:val="00731FE1"/>
    <w:rsid w:val="007419BD"/>
    <w:rsid w:val="00792FBF"/>
    <w:rsid w:val="0079445D"/>
    <w:rsid w:val="008035A1"/>
    <w:rsid w:val="008134C2"/>
    <w:rsid w:val="008E7A4D"/>
    <w:rsid w:val="008F5C9B"/>
    <w:rsid w:val="00952CAA"/>
    <w:rsid w:val="0097504A"/>
    <w:rsid w:val="009E331D"/>
    <w:rsid w:val="00A32AFC"/>
    <w:rsid w:val="00A73319"/>
    <w:rsid w:val="00AC6F75"/>
    <w:rsid w:val="00B32747"/>
    <w:rsid w:val="00B81E61"/>
    <w:rsid w:val="00BC2AA9"/>
    <w:rsid w:val="00C039E3"/>
    <w:rsid w:val="00C901CA"/>
    <w:rsid w:val="00C927DF"/>
    <w:rsid w:val="00CB0DD5"/>
    <w:rsid w:val="00CD6C2A"/>
    <w:rsid w:val="00D5043C"/>
    <w:rsid w:val="00DB2923"/>
    <w:rsid w:val="00E0671A"/>
    <w:rsid w:val="00E3631A"/>
    <w:rsid w:val="00E635EA"/>
    <w:rsid w:val="00E646CA"/>
    <w:rsid w:val="00E7184C"/>
    <w:rsid w:val="00EF1531"/>
    <w:rsid w:val="00F178A3"/>
    <w:rsid w:val="00FD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C78950-926E-43C2-8784-BF4B1B5E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373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1 заголовок"/>
    <w:basedOn w:val="a1"/>
    <w:next w:val="a0"/>
    <w:link w:val="10"/>
    <w:qFormat/>
    <w:rsid w:val="006E6378"/>
    <w:pPr>
      <w:ind w:left="360" w:hanging="360"/>
      <w:jc w:val="both"/>
      <w:outlineLvl w:val="0"/>
    </w:pPr>
    <w:rPr>
      <w:rFonts w:ascii="Times New Roman" w:eastAsiaTheme="minorHAnsi" w:hAnsi="Times New Roman" w:cstheme="minorBidi"/>
      <w:b/>
      <w:sz w:val="32"/>
      <w:lang w:eastAsia="en-US"/>
    </w:rPr>
  </w:style>
  <w:style w:type="paragraph" w:styleId="2">
    <w:name w:val="heading 2"/>
    <w:aliases w:val="2 Заголовок"/>
    <w:basedOn w:val="a0"/>
    <w:next w:val="a0"/>
    <w:link w:val="20"/>
    <w:autoRedefine/>
    <w:unhideWhenUsed/>
    <w:qFormat/>
    <w:rsid w:val="00DB2923"/>
    <w:pPr>
      <w:keepNext/>
      <w:shd w:val="clear" w:color="auto" w:fill="FFFFFF"/>
      <w:tabs>
        <w:tab w:val="left" w:pos="0"/>
      </w:tabs>
      <w:snapToGrid w:val="0"/>
      <w:spacing w:before="120" w:after="0"/>
      <w:ind w:left="-142" w:firstLine="142"/>
      <w:contextualSpacing/>
      <w:outlineLvl w:val="1"/>
    </w:pPr>
    <w:rPr>
      <w:rFonts w:ascii="Times New Roman" w:eastAsia="MS Mincho" w:hAnsi="Times New Roman"/>
      <w:b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437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qFormat/>
    <w:rsid w:val="00DB2923"/>
    <w:pPr>
      <w:spacing w:before="120" w:after="0"/>
      <w:ind w:firstLine="709"/>
      <w:jc w:val="both"/>
    </w:pPr>
    <w:rPr>
      <w:rFonts w:ascii="Times New Roman" w:eastAsia="MS Mincho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DB2923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aliases w:val="2 Заголовок Знак"/>
    <w:basedOn w:val="a2"/>
    <w:link w:val="2"/>
    <w:rsid w:val="00DB2923"/>
    <w:rPr>
      <w:rFonts w:ascii="Times New Roman" w:eastAsia="MS Mincho" w:hAnsi="Times New Roman" w:cs="Times New Roman"/>
      <w:b/>
      <w:sz w:val="24"/>
      <w:szCs w:val="24"/>
      <w:shd w:val="clear" w:color="auto" w:fill="FFFFFF"/>
      <w:lang w:val="x-none" w:eastAsia="x-none"/>
    </w:rPr>
  </w:style>
  <w:style w:type="paragraph" w:customStyle="1" w:styleId="a">
    <w:name w:val="Списки"/>
    <w:basedOn w:val="a1"/>
    <w:link w:val="a7"/>
    <w:qFormat/>
    <w:rsid w:val="00DB2923"/>
    <w:pPr>
      <w:numPr>
        <w:numId w:val="1"/>
      </w:numPr>
      <w:spacing w:before="120" w:after="0"/>
      <w:jc w:val="both"/>
    </w:pPr>
    <w:rPr>
      <w:rFonts w:ascii="Times New Roman" w:hAnsi="Times New Roman"/>
      <w:sz w:val="24"/>
      <w:shd w:val="clear" w:color="auto" w:fill="FFFFFF"/>
      <w:lang w:val="x-none" w:eastAsia="x-none"/>
    </w:rPr>
  </w:style>
  <w:style w:type="character" w:customStyle="1" w:styleId="a7">
    <w:name w:val="Списки Знак"/>
    <w:link w:val="a"/>
    <w:rsid w:val="00DB2923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a1">
    <w:name w:val="List Paragraph"/>
    <w:basedOn w:val="a0"/>
    <w:link w:val="a8"/>
    <w:uiPriority w:val="34"/>
    <w:qFormat/>
    <w:rsid w:val="00DB2923"/>
    <w:pPr>
      <w:ind w:left="720"/>
      <w:contextualSpacing/>
    </w:pPr>
  </w:style>
  <w:style w:type="character" w:customStyle="1" w:styleId="10">
    <w:name w:val="Заголовок 1 Знак"/>
    <w:aliases w:val="1 заголовок Знак"/>
    <w:basedOn w:val="a2"/>
    <w:link w:val="1"/>
    <w:rsid w:val="006E6378"/>
    <w:rPr>
      <w:rFonts w:ascii="Times New Roman" w:hAnsi="Times New Roman"/>
      <w:b/>
      <w:sz w:val="32"/>
    </w:rPr>
  </w:style>
  <w:style w:type="character" w:customStyle="1" w:styleId="a8">
    <w:name w:val="Абзац списка Знак"/>
    <w:link w:val="a1"/>
    <w:uiPriority w:val="34"/>
    <w:locked/>
    <w:rsid w:val="006E6378"/>
    <w:rPr>
      <w:rFonts w:ascii="Calibri" w:eastAsia="Times New Roman" w:hAnsi="Calibri" w:cs="Times New Roman"/>
      <w:lang w:eastAsia="ru-RU"/>
    </w:rPr>
  </w:style>
  <w:style w:type="paragraph" w:customStyle="1" w:styleId="4">
    <w:name w:val="Основной текст4"/>
    <w:basedOn w:val="a0"/>
    <w:link w:val="a9"/>
    <w:rsid w:val="0033729E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23"/>
      <w:szCs w:val="23"/>
      <w:lang w:eastAsia="en-US"/>
    </w:rPr>
  </w:style>
  <w:style w:type="character" w:customStyle="1" w:styleId="a9">
    <w:name w:val="Основной текст_"/>
    <w:basedOn w:val="a2"/>
    <w:link w:val="4"/>
    <w:rsid w:val="0033729E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1"/>
    <w:rsid w:val="00096CF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a">
    <w:name w:val="footnote reference"/>
    <w:aliases w:val="Знак сноски-FN,Знак сноски 1,Ciae niinee-FN,SUPERS,Referencia nota al pie,fr,Used by Word for Help footnote symbols,Стиль Знак сноски,Ссылка на сноску 45,Appel note de bas de page + 1...,Appel note de bas de page"/>
    <w:uiPriority w:val="99"/>
    <w:semiHidden/>
    <w:rsid w:val="00096CF6"/>
    <w:rPr>
      <w:vertAlign w:val="superscript"/>
    </w:rPr>
  </w:style>
  <w:style w:type="paragraph" w:customStyle="1" w:styleId="ab">
    <w:name w:val="сноска"/>
    <w:basedOn w:val="ac"/>
    <w:link w:val="ad"/>
    <w:qFormat/>
    <w:rsid w:val="00096CF6"/>
    <w:pPr>
      <w:suppressAutoHyphens/>
      <w:spacing w:before="60" w:line="288" w:lineRule="auto"/>
      <w:contextualSpacing/>
      <w:jc w:val="both"/>
    </w:pPr>
    <w:rPr>
      <w:rFonts w:ascii="Times New Roman" w:hAnsi="Times New Roman"/>
      <w:lang w:val="x-none" w:eastAsia="x-none"/>
    </w:rPr>
  </w:style>
  <w:style w:type="character" w:customStyle="1" w:styleId="ad">
    <w:name w:val="сноска Знак"/>
    <w:link w:val="ab"/>
    <w:rsid w:val="00096CF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note text"/>
    <w:basedOn w:val="a0"/>
    <w:link w:val="ae"/>
    <w:uiPriority w:val="99"/>
    <w:semiHidden/>
    <w:unhideWhenUsed/>
    <w:rsid w:val="00096CF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2"/>
    <w:link w:val="ac"/>
    <w:uiPriority w:val="99"/>
    <w:semiHidden/>
    <w:rsid w:val="00096CF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1. Таблица"/>
    <w:basedOn w:val="a0"/>
    <w:link w:val="13"/>
    <w:qFormat/>
    <w:rsid w:val="00096CF6"/>
    <w:pPr>
      <w:keepNext/>
      <w:suppressAutoHyphens/>
      <w:spacing w:before="120" w:after="0" w:line="240" w:lineRule="auto"/>
      <w:ind w:firstLine="720"/>
      <w:contextualSpacing/>
      <w:jc w:val="right"/>
    </w:pPr>
    <w:rPr>
      <w:rFonts w:ascii="Times New Roman" w:hAnsi="Times New Roman"/>
      <w:b/>
      <w:bCs/>
      <w:i/>
      <w:sz w:val="20"/>
      <w:szCs w:val="24"/>
      <w:lang w:val="x-none" w:eastAsia="x-none"/>
    </w:rPr>
  </w:style>
  <w:style w:type="character" w:customStyle="1" w:styleId="13">
    <w:name w:val="1. Таблица Знак"/>
    <w:basedOn w:val="a2"/>
    <w:link w:val="12"/>
    <w:rsid w:val="00096CF6"/>
    <w:rPr>
      <w:rFonts w:ascii="Times New Roman" w:eastAsia="Times New Roman" w:hAnsi="Times New Roman" w:cs="Times New Roman"/>
      <w:b/>
      <w:bCs/>
      <w:i/>
      <w:sz w:val="20"/>
      <w:szCs w:val="24"/>
      <w:lang w:val="x-none" w:eastAsia="x-none"/>
    </w:rPr>
  </w:style>
  <w:style w:type="paragraph" w:styleId="af">
    <w:name w:val="header"/>
    <w:basedOn w:val="a0"/>
    <w:link w:val="af0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26528A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0"/>
    <w:link w:val="af2"/>
    <w:uiPriority w:val="99"/>
    <w:unhideWhenUsed/>
    <w:rsid w:val="00265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26528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Ivan Malyshev</cp:lastModifiedBy>
  <cp:revision>28</cp:revision>
  <dcterms:created xsi:type="dcterms:W3CDTF">2016-05-10T07:27:00Z</dcterms:created>
  <dcterms:modified xsi:type="dcterms:W3CDTF">2018-01-11T11:50:00Z</dcterms:modified>
</cp:coreProperties>
</file>